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sdt>
      <w:sdtPr>
        <w:docPartObj>
          <w:docPartGallery w:val="Cover Pages"/>
          <w:docPartUnique w:val="true"/>
        </w:docPartObj>
        <w:id w:val="776371"/>
      </w:sdtPr>
      <w:sdtContent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72"/>
              <w:szCs w:val="72"/>
            </w:rPr>
          </w:pPr>
          <w:r>
            <w:rPr>
              <w:rFonts w:eastAsia="" w:cs="" w:cstheme="majorBidi" w:eastAsiaTheme="majorEastAsia" w:ascii="Cambria" w:hAnsi="Cambria"/>
              <w:sz w:val="72"/>
              <w:szCs w:val="72"/>
            </w:rPr>
            <mc:AlternateContent>
              <mc:Choice Requires="wps">
                <w:drawing>
                  <wp:anchor behindDoc="0" distT="635" distB="635" distL="635" distR="635" simplePos="0" locked="0" layoutInCell="0" allowOverlap="1" relativeHeight="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070850" cy="800100"/>
                    <wp:effectExtent l="635" t="635" r="635" b="635"/>
                    <wp:wrapNone/>
                    <wp:docPr id="1" name="Tvar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70840" cy="80028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0">
                              <a:solidFill>
                                <a:srgbClr val="31849b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</wp:anchor>
                </w:drawing>
              </mc:Choice>
              <mc:Fallback>
                <w:pict>
                  <v:rect id="shape_0" ID="Tvar1" path="m0,0l-2147483645,0l-2147483645,-2147483646l0,-2147483646xe" fillcolor="#4bacc6" stroked="t" o:allowincell="f" style="position:absolute;margin-left:-19.05pt;margin-top:778.8pt;width:635.45pt;height:62.95pt;mso-wrap-style:none;v-text-anchor:middle;mso-position-horizontal:center;mso-position-horizontal-relative:page;mso-position-vertical:bottom;mso-position-vertical-relative:page">
                    <v:fill o:detectmouseclick="t" type="solid" color2="#b45339"/>
                    <v:stroke color="#31849b" joinstyle="round" endcap="flat"/>
                    <w10:wrap type="none"/>
                  </v:rect>
                </w:pict>
              </mc:Fallback>
            </mc:AlternateContent>
            <mc:AlternateContent>
              <mc:Choice Requires="wps">
                <w:drawing>
                  <wp:anchor behindDoc="0" distT="635" distB="635" distL="635" distR="635" simplePos="0" locked="0" layoutInCell="0" allowOverlap="1" relativeHeight="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070850" cy="800100"/>
                    <wp:effectExtent l="635" t="635" r="635" b="635"/>
                    <wp:wrapNone/>
                    <wp:docPr id="2" name="Tvar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70840" cy="80028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0">
                              <a:solidFill>
                                <a:srgbClr val="31849b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</wp:anchor>
                </w:drawing>
              </mc:Choice>
              <mc:Fallback>
                <w:pict>
                  <v:rect id="shape_0" ID="Tvar2" path="m0,0l-2147483645,0l-2147483645,-2147483646l0,-2147483646xe" fillcolor="#4bacc6" stroked="t" o:allowincell="f" style="position:absolute;margin-left:-19.05pt;margin-top:0.05pt;width:635.45pt;height:62.95pt;mso-wrap-style:none;v-text-anchor:middle;mso-position-horizontal:center;mso-position-horizontal-relative:page;mso-position-vertical:top">
                    <v:fill o:detectmouseclick="t" type="solid" color2="#b45339"/>
                    <v:stroke color="#31849b" joinstyle="round" endcap="flat"/>
                    <w10:wrap type="none"/>
                  </v:rect>
                </w:pict>
              </mc:Fallback>
            </mc:AlternateContent>
            <mc:AlternateContent>
              <mc:Choice Requires="wps">
                <w:drawing>
                  <wp:anchor behindDoc="0" distT="635" distB="635" distL="635" distR="635" simplePos="0" locked="0" layoutInCell="0" allowOverlap="1" relativeHeight="4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364595"/>
                    <wp:effectExtent l="635" t="635" r="635" b="635"/>
                    <wp:wrapNone/>
                    <wp:docPr id="3" name="Tvar3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720" cy="1136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31849b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shape_0" ID="Tvar3" path="m0,0l-2147483645,0l-2147483645,-2147483646l0,-2147483646xe" fillcolor="white" stroked="t" o:allowincell="f" style="position:absolute;margin-left:31.8pt;margin-top:-25.3pt;width:7.1pt;height:894.8pt;mso-wrap-style:none;v-text-anchor:middle;mso-position-horizontal:center;mso-position-horizontal-relative:page;mso-position-vertical:center;mso-position-vertical-relative:page">
                    <v:fill o:detectmouseclick="t" type="solid" color2="black"/>
                    <v:stroke color="#31849b" joinstyle="round" endcap="flat"/>
                    <w10:wrap type="none"/>
                  </v:rect>
                </w:pict>
              </mc:Fallback>
            </mc:AlternateContent>
            <mc:AlternateContent>
              <mc:Choice Requires="wps">
                <w:drawing>
                  <wp:anchor behindDoc="0" distT="635" distB="635" distL="635" distR="635" simplePos="0" locked="0" layoutInCell="0" allowOverlap="1" relativeHeight="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364595"/>
                    <wp:effectExtent l="635" t="635" r="635" b="635"/>
                    <wp:wrapNone/>
                    <wp:docPr id="4" name="Tvar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720" cy="1136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31849b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shape_0" ID="Tvar4" path="m0,0l-2147483645,0l-2147483645,-2147483646l0,-2147483646xe" fillcolor="white" stroked="t" o:allowincell="f" style="position:absolute;margin-left:31.8pt;margin-top:-25.3pt;width:7.1pt;height:894.8pt;mso-wrap-style:none;v-text-anchor:middle;mso-position-horizontal:center;mso-position-horizontal-relative:page;mso-position-vertical:center;mso-position-vertical-relative:page">
                    <v:fill o:detectmouseclick="t" type="solid" color2="black"/>
                    <v:stroke color="#31849b" joinstyle="round" endcap="flat"/>
                    <w10:wrap type="none"/>
                  </v:rect>
                </w:pict>
              </mc:Fallback>
            </mc:AlternateContent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72"/>
              <w:szCs w:val="72"/>
            </w:rPr>
          </w:pPr>
          <w:r>
            <w:rPr>
              <w:rFonts w:eastAsia="" w:cs="" w:ascii="Cambria" w:hAnsi="Cambria" w:asciiTheme="majorHAnsi" w:cstheme="majorBidi" w:eastAsiaTheme="majorEastAsia" w:hAnsiTheme="majorHAnsi"/>
              <w:sz w:val="72"/>
              <w:szCs w:val="72"/>
            </w:rPr>
            <w:t>Silná a neprav. slovesa dle skupin stručně</w:t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72"/>
              <w:szCs w:val="72"/>
            </w:rPr>
          </w:pPr>
          <w:r>
            <w:rPr/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</w:rPr>
          </w:pPr>
          <w:r>
            <w:rPr>
              <w:sz w:val="32"/>
              <w:szCs w:val="32"/>
            </w:rPr>
          </w:r>
        </w:p>
        <w:p>
          <w:pPr>
            <w:pStyle w:val="NoSpacing"/>
            <w:rPr>
              <w:sz w:val="32"/>
              <w:szCs w:val="32"/>
            </w:rPr>
          </w:pPr>
          <w:r>
            <w:rPr>
              <w:rFonts w:eastAsia="" w:cs="" w:ascii="Cambria" w:hAnsi="Cambria" w:asciiTheme="majorHAnsi" w:cstheme="majorBidi" w:eastAsiaTheme="majorEastAsia" w:hAnsiTheme="majorHAnsi"/>
              <w:sz w:val="32"/>
              <w:szCs w:val="32"/>
            </w:rPr>
            <w:t xml:space="preserve">- </w:t>
          </w:r>
          <w:r>
            <w:rPr>
              <w:rFonts w:eastAsia="" w:cs="" w:ascii="Cambria" w:hAnsi="Cambria" w:asciiTheme="majorHAnsi" w:cstheme="majorBidi" w:eastAsiaTheme="majorEastAsia" w:hAnsiTheme="majorHAnsi"/>
              <w:sz w:val="32"/>
              <w:szCs w:val="32"/>
            </w:rPr>
            <w:t>Umění odhadu</w:t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6"/>
              <w:szCs w:val="36"/>
            </w:rPr>
          </w:pPr>
          <w:sdt>
            <w:sdtPr>
              <w:placeholder>
                <w:docPart w:val="F3F8B4D75F4B44348F16C5D05708B97D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alias w:val="Podtitul"/>
              <w:id w:val="14700077"/>
              <w:text/>
            </w:sdtPr>
            <w:sdtContent>
              <w:r>
                <w:rPr>
                  <w:sz w:val="32"/>
                  <w:szCs w:val="32"/>
                </w:rPr>
              </w:r>
              <w:r>
                <w:rPr>
                  <w:sz w:val="32"/>
                  <w:szCs w:val="32"/>
                </w:rPr>
              </w:r>
            </w:sdtContent>
          </w:sdt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  <w:t>2.2.2023</w:t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  <w:t>Jitka Nekvindová</w:t>
          </w:r>
        </w:p>
        <w:p>
          <w:pPr>
            <w:pStyle w:val="NoSpacing"/>
            <w:rPr>
              <w:rFonts w:ascii="Cambria" w:hAnsi="Cambria" w:eastAsia="" w:cs="" w:asciiTheme="majorHAnsi" w:cstheme="majorBidi" w:eastAsiaTheme="majorEastAsia" w:hAnsiTheme="majorHAnsi"/>
              <w:sz w:val="32"/>
              <w:szCs w:val="32"/>
            </w:rPr>
          </w:pPr>
          <w:r>
            <w:rPr>
              <w:rFonts w:eastAsia="" w:cs="" w:cstheme="majorBidi" w:eastAsiaTheme="majorEastAsia" w:ascii="Cambria" w:hAnsi="Cambria"/>
              <w:sz w:val="32"/>
              <w:szCs w:val="32"/>
            </w:rPr>
            <w:t>Překladatelka a lektorka němčiny</w:t>
          </w:r>
        </w:p>
        <w:p>
          <w:pPr>
            <w:pStyle w:val="NoSpacing"/>
            <w:rPr>
              <w:sz w:val="32"/>
              <w:szCs w:val="32"/>
            </w:rPr>
          </w:pPr>
          <w:sdt>
            <w:sdtPr>
              <w:placeholder>
                <w:docPart w:val="CC6F67F8C0F149A6A1FE4C306ADD7163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alias w:val="Datum"/>
              <w:id w:val="14700083"/>
              <w:date w:fullDate="2023-02-02T00:00:00Z">
                <w:dateFormat w:val="d.M.yyyy"/>
                <w:lid w:val="cs-CZ"/>
              </w:date>
            </w:sdtPr>
            <w:sdtContent>
              <w:r>
                <w:rPr>
                  <w:sz w:val="32"/>
                  <w:szCs w:val="32"/>
                </w:rPr>
              </w:r>
              <w:r>
                <w:rPr>
                  <w:sz w:val="32"/>
                  <w:szCs w:val="32"/>
                </w:rPr>
              </w:r>
            </w:sdtContent>
          </w:sdt>
          <w:sdt>
            <w:sdtPr>
              <w:placeholder>
                <w:docPart w:val="81B22AA7FE704A99BB632C4B7585047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alias w:val="Společnost"/>
              <w:id w:val="14700089"/>
              <w:text/>
            </w:sdtPr>
            <w:sdtContent>
              <w:r>
                <w:rPr>
                  <w:sz w:val="32"/>
                  <w:szCs w:val="32"/>
                </w:rPr>
              </w:r>
              <w:r>
                <w:rPr>
                  <w:sz w:val="32"/>
                  <w:szCs w:val="32"/>
                </w:rPr>
              </w:r>
            </w:sdtContent>
          </w:sdt>
          <w:sdt>
            <w:sdtPr>
              <w:placeholder>
                <w:docPart w:val="9F346632ADFE4592AFA967ED2F9BFB59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alias w:val="Autor"/>
              <w:id w:val="14700094"/>
              <w:text/>
            </w:sdtPr>
            <w:sdtContent>
              <w:r>
                <w:rPr>
                  <w:sz w:val="32"/>
                  <w:szCs w:val="32"/>
                </w:rPr>
              </w:r>
              <w:r>
                <w:rPr>
                  <w:sz w:val="32"/>
                  <w:szCs w:val="32"/>
                </w:rPr>
              </w:r>
            </w:sdtContent>
          </w:sdt>
        </w:p>
        <w:p>
          <w:pPr>
            <w:pStyle w:val="Normal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  <w:p>
          <w:pPr>
            <w:pStyle w:val="Normal"/>
            <w:rPr>
              <w:b/>
              <w:sz w:val="32"/>
              <w:szCs w:val="32"/>
              <w:lang w:val="en-US"/>
            </w:rPr>
          </w:pPr>
          <w:r>
            <w:rPr>
              <w:b/>
              <w:sz w:val="32"/>
              <w:szCs w:val="32"/>
              <w:lang w:val="en-US"/>
            </w:rPr>
          </w:r>
          <w:r>
            <w:br w:type="page"/>
          </w:r>
        </w:p>
        <w:p>
          <w:pPr>
            <w:pStyle w:val="Normal"/>
            <w:spacing w:before="0" w:after="0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Silná a nepravidelná slovesa podle skupin</w:t>
          </w:r>
        </w:p>
        <w:p>
          <w:pPr>
            <w:pStyle w:val="Normal"/>
            <w:spacing w:before="0" w:after="0"/>
            <w:rPr>
              <w:lang w:val="en-US"/>
            </w:rPr>
          </w:pPr>
          <w:r>
            <w:rPr>
              <w:lang w:val="en-US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1. skupina: fliegen - er fliegt - er flog - er ist geflogen (ie - o - o)</w:t>
          </w:r>
        </w:p>
        <w:p>
          <w:pPr>
            <w:pStyle w:val="Normal"/>
            <w:spacing w:before="0" w:after="0"/>
            <w:rPr>
              <w:b/>
              <w:lang w:val="en-US"/>
            </w:rPr>
          </w:pPr>
          <w:r>
            <w:rPr>
              <w:b/>
              <w:lang w:val="en-US"/>
            </w:rPr>
            <w:t>a) dlouhé o v préteritu a perfektu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  <w:t xml:space="preserve">biegen (abbiegen), bieten (anbieten, verbieten), </w:t>
          </w:r>
          <w:r>
            <w:rPr>
              <w:lang w:val="cs-CZ"/>
            </w:rPr>
            <w:t xml:space="preserve">erkiesen, </w:t>
          </w:r>
          <w:r>
            <w:rPr>
              <w:lang w:val="de-DE"/>
            </w:rPr>
            <w:t>fliegen, fliehen, frieren (erfrieren), schieben (verschieben), stieben, verlieren, wiegen, ziehen (anziehen, umziehen)</w:t>
          </w:r>
        </w:p>
        <w:p>
          <w:pPr>
            <w:pStyle w:val="Normal"/>
            <w:spacing w:before="0" w:after="0"/>
            <w:rPr>
              <w:b/>
              <w:lang w:val="en-US"/>
            </w:rPr>
          </w:pPr>
          <w:r>
            <w:rPr>
              <w:b/>
              <w:lang w:val="en-US"/>
            </w:rPr>
            <w:t>b) krátké o v préteritu a perfektu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  <w:t>fließen, gießen, genießen, kriechen, riechen, schießen, schließen, sieden, sprießen, triefen, verdrießen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2. skupina bleiben - er bleibt - er blieb - er ist geblieben (ei - i(e) - i(e))</w:t>
          </w:r>
        </w:p>
        <w:p>
          <w:pPr>
            <w:pStyle w:val="Normal"/>
            <w:spacing w:before="0" w:after="0"/>
            <w:rPr>
              <w:b/>
              <w:lang w:val="en-US"/>
            </w:rPr>
          </w:pPr>
          <w:r>
            <w:rPr>
              <w:b/>
              <w:lang w:val="en-US"/>
            </w:rPr>
            <w:t>a) dlouhé i v préteritu a perfektu: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  <w:t xml:space="preserve">bleiben, gedeihen, leihen, meiden (vermeiden), preisen, reiben, </w:t>
          </w:r>
          <w:r>
            <w:rPr>
              <w:lang w:val="cs-CZ"/>
            </w:rPr>
            <w:t xml:space="preserve">reihen, </w:t>
          </w:r>
          <w:r>
            <w:rPr>
              <w:lang w:val="de-DE"/>
            </w:rPr>
            <w:t>scheiden (entscheiden), scheinen, schleifen, schreiben (verschreiben), schreien, schweigen, speien, steigen (einsteigen, umsteigen, aussteigen, zusteigen), treiben, weisen (beweisen), zeihen (verzeihen)</w:t>
          </w:r>
        </w:p>
        <w:p>
          <w:pPr>
            <w:pStyle w:val="Normal"/>
            <w:spacing w:before="0" w:after="0"/>
            <w:rPr>
              <w:b/>
              <w:lang w:val="en-US"/>
            </w:rPr>
          </w:pPr>
          <w:r>
            <w:rPr>
              <w:b/>
              <w:lang w:val="en-US"/>
            </w:rPr>
            <w:t>b) krátké i v préteritu a perfektu: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  <w:t>beißen, bleichen, gleichen, gleiten, greifen (begreifen), kneifen, kreischen, leiden, pfeifen, reißen (zerreißen), reiten, scheißen, schleichen, schmeißen, schneiden (zerschneiden), schreiten, spleißen, streichen, streiten, weichen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hd w:val="clear" w:color="auto" w:fill="B6DDE8" w:themeFill="accent5" w:themeFillTint="66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3. skupina: laufen - er läuft - er lief - er ist gelaufen (a - i(e) - a)</w:t>
          </w:r>
        </w:p>
        <w:p>
          <w:pPr>
            <w:pStyle w:val="Normal"/>
            <w:shd w:val="clear" w:color="auto" w:fill="B6DDE8" w:themeFill="accent5" w:themeFillTint="66"/>
            <w:spacing w:before="0" w:after="0"/>
            <w:rPr>
              <w:b/>
              <w:lang w:val="de-DE"/>
            </w:rPr>
          </w:pPr>
          <w:r>
            <w:rPr>
              <w:b/>
              <w:lang w:val="de-DE"/>
            </w:rPr>
            <w:t>fahren - er fährt - er fuhr - er ist gefahren (a - u - a)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laufen:</w:t>
          </w:r>
          <w:r>
            <w:rPr>
              <w:lang w:val="de-DE"/>
            </w:rPr>
            <w:t xml:space="preserve"> blasen, braten, fallen (einfallen, gefallen), fangen (empfangen), halten (anhalten, aufhalten, einhalten, erhalten, unterhalten), hängen, </w:t>
          </w:r>
          <w:r>
            <w:rPr>
              <w:u w:val="single"/>
              <w:lang w:val="de-DE"/>
            </w:rPr>
            <w:t xml:space="preserve">hauen </w:t>
          </w:r>
          <w:r>
            <w:rPr>
              <w:u w:val="single"/>
              <w:lang w:val="cs-CZ"/>
            </w:rPr>
            <w:t>(přít. čas: er haut)</w:t>
          </w:r>
          <w:r>
            <w:rPr>
              <w:lang w:val="de-DE"/>
            </w:rPr>
            <w:t>, lassen, laufen, raten (beraten), schlafen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fahren:</w:t>
          </w:r>
          <w:r>
            <w:rPr>
              <w:lang w:val="de-DE"/>
            </w:rPr>
            <w:t xml:space="preserve"> backen, fahren (erfahren), graben, laden (einladen), </w:t>
          </w:r>
          <w:r>
            <w:rPr>
              <w:u w:val="single"/>
              <w:lang w:val="de-DE"/>
            </w:rPr>
            <w:t>schaffen (přít. čas: er schafft)</w:t>
          </w:r>
          <w:r>
            <w:rPr>
              <w:lang w:val="de-DE"/>
            </w:rPr>
            <w:t>, schlagen (vorschlagen), tragen (übertragen, beitragen), wachsen, waschen (abwaschen)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4. skupina liegen - er liegt - er lag - er hat gelegen (i(e) - a - e)</w:t>
          </w:r>
        </w:p>
        <w:p>
          <w:pPr>
            <w:pStyle w:val="Normal"/>
            <w:spacing w:before="0" w:after="0"/>
            <w:rPr>
              <w:b/>
              <w:lang w:val="de-DE"/>
            </w:rPr>
          </w:pPr>
          <w:r>
            <w:rPr>
              <w:b/>
              <w:lang w:val="de-DE"/>
            </w:rPr>
            <w:t>trinken - er trinkt - er trank - er hat getrunken (i - a - u)</w:t>
          </w:r>
        </w:p>
        <w:p>
          <w:pPr>
            <w:pStyle w:val="Normal"/>
            <w:spacing w:before="0" w:after="0"/>
            <w:rPr>
              <w:b/>
              <w:lang w:val="de-DE"/>
            </w:rPr>
          </w:pPr>
          <w:r>
            <w:rPr>
              <w:b/>
              <w:lang w:val="de-DE"/>
            </w:rPr>
            <w:t>schwimmen - er schwimmt - er schwamm - er hat/ist geschwommen (i - a - o)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liegen:</w:t>
          </w:r>
          <w:r>
            <w:rPr>
              <w:lang w:val="de-DE"/>
            </w:rPr>
            <w:t xml:space="preserve"> bitten, liegen, sitzen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trinken:</w:t>
          </w:r>
          <w:r>
            <w:rPr>
              <w:lang w:val="de-DE"/>
            </w:rPr>
            <w:t xml:space="preserve"> binden (verbinden), dringen, finden (befinden, empfinden, stattfinden), gelingen, klingen (erklingen), misslingen, ringen, schlingen, schwinden (verschwinden), schwingen, singen, sinken, springen, stinken, trinken, winden, wringen, zwingen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schwimmen:</w:t>
          </w:r>
          <w:r>
            <w:rPr>
              <w:lang w:val="de-DE"/>
            </w:rPr>
            <w:t xml:space="preserve"> beginnen, gewinnen, rinnen, schwimmen, sinnen, spinnen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hd w:val="clear" w:color="auto" w:fill="B6DDE8" w:themeFill="accent5" w:themeFillTint="66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5. skupina: lesen - er liest - er las - er hat gelesen</w:t>
          </w:r>
        </w:p>
        <w:p>
          <w:pPr>
            <w:pStyle w:val="Normal"/>
            <w:shd w:val="clear" w:color="auto" w:fill="B6DDE8" w:themeFill="accent5" w:themeFillTint="66"/>
            <w:spacing w:before="0" w:after="0"/>
            <w:rPr>
              <w:b/>
              <w:lang w:val="de-DE"/>
            </w:rPr>
          </w:pPr>
          <w:r>
            <w:rPr>
              <w:b/>
              <w:lang w:val="de-DE"/>
            </w:rPr>
            <w:t>sprechen - er spricht - er sprach - er hat gesprochen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lesen:</w:t>
          </w:r>
          <w:r>
            <w:rPr>
              <w:lang w:val="de-DE"/>
            </w:rPr>
            <w:t xml:space="preserve"> essen, fressen, geben (angeben, ausgeben), </w:t>
          </w:r>
          <w:r>
            <w:rPr>
              <w:u w:val="single"/>
              <w:lang w:val="de-DE"/>
            </w:rPr>
            <w:t>genesen (přít. čas: er genest)</w:t>
          </w:r>
          <w:r>
            <w:rPr>
              <w:lang w:val="de-DE"/>
            </w:rPr>
            <w:t>, geschehen, lesen, messen, sehen (ansehen, fernsehen), treten (auftreten), vergessen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u w:val="single"/>
              <w:lang w:val="de-DE"/>
            </w:rPr>
            <w:t>typ sprechen:</w:t>
          </w:r>
          <w:r>
            <w:rPr>
              <w:lang w:val="de-DE"/>
            </w:rPr>
            <w:t xml:space="preserve"> befehlen (empfehlen), bergen, bersten, brechen, gelten, helfen, nehmen (abnehmen, annehmen, teilnehmen, unternehmen, zunehmen), schelten, erschrecken, sprechen (versprechen, entsprechen), stechen, stehlen, sterben, treffen, verderben, werben, werfen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6. skupina: lügen - er lügt - er log - er hat gelogen (e/ä/ö/ü - o - o)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  <w:t xml:space="preserve">bewegen, </w:t>
          </w:r>
          <w:r>
            <w:rPr>
              <w:shd w:fill="B6DDE8" w:val="clear"/>
              <w:lang w:val="de-DE"/>
            </w:rPr>
            <w:t>fechten (přít. čas: er ficht)</w:t>
          </w:r>
          <w:r>
            <w:rPr>
              <w:lang w:val="de-DE"/>
            </w:rPr>
            <w:t xml:space="preserve">, </w:t>
          </w:r>
          <w:r>
            <w:rPr>
              <w:shd w:fill="B6DDE8" w:val="clear"/>
              <w:lang w:val="de-DE"/>
            </w:rPr>
            <w:t>flechten (přít. čas: er flicht)</w:t>
          </w:r>
          <w:r>
            <w:rPr>
              <w:lang w:val="de-DE"/>
            </w:rPr>
            <w:t xml:space="preserve">, gären, heben, küren, </w:t>
          </w:r>
          <w:r>
            <w:rPr>
              <w:shd w:fill="B6DDE8" w:val="clear"/>
              <w:lang w:val="de-DE"/>
            </w:rPr>
            <w:t>löschen (přít. čas: er lischt)</w:t>
          </w:r>
          <w:r>
            <w:rPr>
              <w:lang w:val="de-DE"/>
            </w:rPr>
            <w:t xml:space="preserve">, lügen, pflegen, </w:t>
          </w:r>
          <w:r>
            <w:rPr>
              <w:shd w:fill="B6DDE8" w:val="clear"/>
              <w:lang w:val="de-DE"/>
            </w:rPr>
            <w:t>quellen (přít. čas: er quillt)</w:t>
          </w:r>
          <w:r>
            <w:rPr>
              <w:lang w:val="de-DE"/>
            </w:rPr>
            <w:t xml:space="preserve">, </w:t>
          </w:r>
          <w:r>
            <w:rPr>
              <w:shd w:fill="B6DDE8" w:val="clear"/>
              <w:lang w:val="de-DE"/>
            </w:rPr>
            <w:t>saufen (přít. čas: er säuft)</w:t>
          </w:r>
          <w:r>
            <w:rPr>
              <w:lang w:val="de-DE"/>
            </w:rPr>
            <w:t xml:space="preserve">, </w:t>
          </w:r>
          <w:r>
            <w:rPr>
              <w:shd w:fill="B6DDE8" w:val="clear"/>
              <w:lang w:val="de-DE"/>
            </w:rPr>
            <w:t>schmelzen (přít. čas: er schmilzt)</w:t>
          </w:r>
          <w:r>
            <w:rPr>
              <w:lang w:val="de-DE"/>
            </w:rPr>
            <w:t xml:space="preserve">, schwären, </w:t>
          </w:r>
          <w:r>
            <w:rPr>
              <w:shd w:fill="B6DDE8" w:val="clear"/>
              <w:lang w:val="de-DE"/>
            </w:rPr>
            <w:t>schwellen (přít. čas: er schwillt)</w:t>
          </w:r>
          <w:r>
            <w:rPr>
              <w:lang w:val="de-DE"/>
            </w:rPr>
            <w:t>, schwören, trügen (betrügen), wägen (abwägen), weben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7. skupina - haben - sein - werden + tun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haben</w:t>
          </w:r>
          <w:r>
            <w:rPr>
              <w:lang w:val="de-DE"/>
            </w:rPr>
            <w:t xml:space="preserve"> - er hat - er hatte - er hat gehabt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sein</w:t>
          </w:r>
          <w:r>
            <w:rPr>
              <w:lang w:val="de-DE"/>
            </w:rPr>
            <w:t xml:space="preserve"> - er ist - er war - er ist gewesen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werden</w:t>
          </w:r>
          <w:r>
            <w:rPr>
              <w:lang w:val="de-DE"/>
            </w:rPr>
            <w:t xml:space="preserve"> - er wird - er wurde - er ist geworden nebo er ist worden, pokud trpný rod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tun</w:t>
          </w:r>
          <w:r>
            <w:rPr>
              <w:lang w:val="de-DE"/>
            </w:rPr>
            <w:t xml:space="preserve"> - er tut - er tat - er hat getan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8. skupina - způsobová slovesa + wissen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dürfen</w:t>
          </w:r>
          <w:r>
            <w:rPr>
              <w:lang w:val="de-DE"/>
            </w:rPr>
            <w:t xml:space="preserve"> - er darf - er durfte - er hat gedurft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können</w:t>
          </w:r>
          <w:r>
            <w:rPr>
              <w:lang w:val="de-DE"/>
            </w:rPr>
            <w:t xml:space="preserve"> - er kann - er konnte - er hat gekonnt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mögen</w:t>
          </w:r>
          <w:r>
            <w:rPr>
              <w:lang w:val="de-DE"/>
            </w:rPr>
            <w:t xml:space="preserve"> - er mag - er mochte - er hat gemocht</w:t>
          </w:r>
        </w:p>
        <w:p>
          <w:pPr>
            <w:pStyle w:val="Normal"/>
            <w:tabs>
              <w:tab w:val="clear" w:pos="708"/>
              <w:tab w:val="left" w:pos="6230" w:leader="none"/>
            </w:tabs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müssen</w:t>
          </w:r>
          <w:r>
            <w:rPr>
              <w:lang w:val="de-DE"/>
            </w:rPr>
            <w:t xml:space="preserve"> - er muss - er musste - er hat gemusst</w:t>
            <w:tab/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sollen</w:t>
          </w:r>
          <w:r>
            <w:rPr>
              <w:lang w:val="de-DE"/>
            </w:rPr>
            <w:t xml:space="preserve"> - er soll - er sollte - er hat gesollt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wollen</w:t>
          </w:r>
          <w:r>
            <w:rPr>
              <w:lang w:val="de-DE"/>
            </w:rPr>
            <w:t xml:space="preserve"> - er will - er wollte - er hat gewollt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wissen</w:t>
          </w:r>
          <w:r>
            <w:rPr>
              <w:lang w:val="de-DE"/>
            </w:rPr>
            <w:t xml:space="preserve"> - er weiß - er wusste - er hat gewusst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 xml:space="preserve">9. skupina - ostatní slovesa 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>gebären</w:t>
          </w:r>
          <w:r>
            <w:rPr>
              <w:lang w:val="de-DE"/>
            </w:rPr>
            <w:t xml:space="preserve"> (sie gebärt) (sie gebar, sie hat geboren), </w:t>
          </w:r>
          <w:r>
            <w:rPr>
              <w:b/>
              <w:lang w:val="de-DE"/>
            </w:rPr>
            <w:t>gehen</w:t>
          </w:r>
          <w:r>
            <w:rPr>
              <w:lang w:val="de-DE"/>
            </w:rPr>
            <w:t xml:space="preserve"> (er geht)(er ging, er ist gegangen), </w:t>
          </w:r>
          <w:r>
            <w:rPr>
              <w:b/>
              <w:lang w:val="de-DE"/>
            </w:rPr>
            <w:t>heißen</w:t>
          </w:r>
          <w:r>
            <w:rPr>
              <w:lang w:val="de-DE"/>
            </w:rPr>
            <w:t xml:space="preserve"> (er heißt) (sie hieß, sie hat geheißen), </w:t>
          </w:r>
          <w:r>
            <w:rPr>
              <w:b/>
              <w:lang w:val="de-DE"/>
            </w:rPr>
            <w:t xml:space="preserve">kommen </w:t>
          </w:r>
          <w:r>
            <w:rPr>
              <w:lang w:val="de-DE"/>
            </w:rPr>
            <w:t xml:space="preserve">(er kommt)(er kam, er ist gekommen), </w:t>
          </w:r>
          <w:r>
            <w:rPr>
              <w:b/>
              <w:lang w:val="de-DE"/>
            </w:rPr>
            <w:t>rufen</w:t>
          </w:r>
          <w:r>
            <w:rPr>
              <w:lang w:val="de-DE"/>
            </w:rPr>
            <w:t xml:space="preserve"> (er ruft)(er rief, er hat gerufen), </w:t>
          </w:r>
          <w:r>
            <w:rPr>
              <w:b/>
              <w:lang w:val="de-DE"/>
            </w:rPr>
            <w:t>anrufen/zurückrufen</w:t>
          </w:r>
          <w:r>
            <w:rPr>
              <w:lang w:val="de-DE"/>
            </w:rPr>
            <w:t xml:space="preserve">, </w:t>
          </w:r>
          <w:r>
            <w:rPr>
              <w:b/>
              <w:lang w:val="de-DE"/>
            </w:rPr>
            <w:t>stehen</w:t>
          </w:r>
          <w:r>
            <w:rPr>
              <w:lang w:val="de-DE"/>
            </w:rPr>
            <w:t xml:space="preserve"> (er steht)(er stand, er hat gestanden), </w:t>
          </w:r>
          <w:r>
            <w:rPr>
              <w:b/>
              <w:lang w:val="de-DE"/>
            </w:rPr>
            <w:t xml:space="preserve">stoßen </w:t>
          </w:r>
          <w:r>
            <w:rPr>
              <w:lang w:val="de-DE"/>
            </w:rPr>
            <w:t>(</w:t>
          </w:r>
          <w:r>
            <w:rPr>
              <w:shd w:fill="B6DDE8" w:val="clear"/>
              <w:lang w:val="de-DE"/>
            </w:rPr>
            <w:t>er stößt</w:t>
          </w:r>
          <w:r>
            <w:rPr>
              <w:lang w:val="de-DE"/>
            </w:rPr>
            <w:t>) (er stieß, er hat/ist gestoßen)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lang w:val="de-DE"/>
            </w:rPr>
          </w:r>
        </w:p>
        <w:p>
          <w:pPr>
            <w:pStyle w:val="Normal"/>
            <w:spacing w:before="0" w:after="0"/>
            <w:rPr>
              <w:b/>
              <w:u w:val="single"/>
              <w:lang w:val="de-DE"/>
            </w:rPr>
          </w:pPr>
          <w:r>
            <w:rPr>
              <w:b/>
              <w:u w:val="single"/>
              <w:lang w:val="de-DE"/>
            </w:rPr>
            <w:t>10. skupina - smíšená slovesa</w:t>
          </w:r>
        </w:p>
        <w:p>
          <w:pPr>
            <w:pStyle w:val="Normal"/>
            <w:spacing w:before="0" w:after="0"/>
            <w:rPr>
              <w:lang w:val="de-DE"/>
            </w:rPr>
          </w:pPr>
          <w:r>
            <w:rPr>
              <w:b/>
              <w:lang w:val="de-DE"/>
            </w:rPr>
            <w:t xml:space="preserve">brennen </w:t>
          </w:r>
          <w:r>
            <w:rPr>
              <w:lang w:val="de-DE"/>
            </w:rPr>
            <w:t xml:space="preserve">(er brennt)(er brannte, er hat gebrannt), </w:t>
          </w:r>
          <w:r>
            <w:rPr>
              <w:b/>
              <w:lang w:val="de-DE"/>
            </w:rPr>
            <w:t>bringen</w:t>
          </w:r>
          <w:r>
            <w:rPr>
              <w:lang w:val="de-DE"/>
            </w:rPr>
            <w:t xml:space="preserve"> (er bring)(er brachte, er hat gebracht), </w:t>
          </w:r>
          <w:r>
            <w:rPr>
              <w:b/>
              <w:lang w:val="de-DE"/>
            </w:rPr>
            <w:t>denken</w:t>
          </w:r>
          <w:r>
            <w:rPr>
              <w:lang w:val="de-DE"/>
            </w:rPr>
            <w:t xml:space="preserve"> (er denkt)(er dachte, er hat gedacht), </w:t>
          </w:r>
          <w:r>
            <w:rPr>
              <w:b/>
              <w:lang w:val="de-DE"/>
            </w:rPr>
            <w:t>kennen</w:t>
          </w:r>
          <w:r>
            <w:rPr>
              <w:lang w:val="de-DE"/>
            </w:rPr>
            <w:t xml:space="preserve"> (er kennt)(er kannte, er hat gekannt), </w:t>
          </w:r>
          <w:r>
            <w:rPr>
              <w:b/>
              <w:lang w:val="de-DE"/>
            </w:rPr>
            <w:t>nennen</w:t>
          </w:r>
          <w:r>
            <w:rPr>
              <w:lang w:val="de-DE"/>
            </w:rPr>
            <w:t xml:space="preserve"> (er nennt)(er nannte, er hat genannt), </w:t>
          </w:r>
          <w:r>
            <w:rPr>
              <w:b/>
              <w:lang w:val="de-DE"/>
            </w:rPr>
            <w:t>rennen</w:t>
          </w:r>
          <w:r>
            <w:rPr>
              <w:lang w:val="de-DE"/>
            </w:rPr>
            <w:t xml:space="preserve"> (er rennt)(er rannte, er ist gerannt), </w:t>
          </w:r>
          <w:r>
            <w:rPr>
              <w:b/>
              <w:lang w:val="de-DE"/>
            </w:rPr>
            <w:t>senden</w:t>
          </w:r>
          <w:r>
            <w:rPr>
              <w:lang w:val="de-DE"/>
            </w:rPr>
            <w:t xml:space="preserve"> (er sendet)(er sandte/sendete, er hat gesandt/gesendet), </w:t>
          </w:r>
          <w:r>
            <w:rPr>
              <w:b/>
              <w:lang w:val="de-DE"/>
            </w:rPr>
            <w:t>wenden</w:t>
          </w:r>
          <w:r>
            <w:rPr>
              <w:lang w:val="de-DE"/>
            </w:rPr>
            <w:t xml:space="preserve"> (er wendet)(er wandte/wendete, er hat gewandt/gewendet)</w:t>
          </w:r>
        </w:p>
        <w:p>
          <w:pPr>
            <w:pStyle w:val="Normal"/>
            <w:tabs>
              <w:tab w:val="clear" w:pos="708"/>
              <w:tab w:val="left" w:pos="3190" w:leader="none"/>
            </w:tabs>
            <w:spacing w:before="0" w:after="200"/>
            <w:rPr>
              <w:lang w:val="de-DE"/>
            </w:rPr>
          </w:pPr>
          <w:r>
            <w:rPr>
              <w:lang w:val="de-DE"/>
            </w:rPr>
            <w:tab/>
          </w:r>
        </w:p>
      </w:sdtContent>
    </w:sdt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640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24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NoSpacing"/>
    <w:uiPriority w:val="1"/>
    <w:qFormat/>
    <w:rsid w:val="00325e51"/>
    <w:rPr>
      <w:rFonts w:eastAsia="" w:eastAsiaTheme="minorEastAsia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25e51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semiHidden/>
    <w:qFormat/>
    <w:rsid w:val="000c346d"/>
    <w:rPr/>
  </w:style>
  <w:style w:type="character" w:styleId="ZpatChar" w:customStyle="1">
    <w:name w:val="Zápatí Char"/>
    <w:basedOn w:val="DefaultParagraphFont"/>
    <w:uiPriority w:val="99"/>
    <w:qFormat/>
    <w:rsid w:val="000c346d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325e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25e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0c34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0c34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F8B4D75F4B44348F16C5D05708B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98AD6-3D76-450C-B4C0-406C23E302C3}"/>
      </w:docPartPr>
      <w:docPartBody>
        <w:p w:rsidR="00000000" w:rsidRDefault="005C4DC9" w:rsidP="005C4DC9">
          <w:pPr>
            <w:pStyle w:val="F3F8B4D75F4B44348F16C5D05708B97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[Zadejte podtitul dokumentu.]</w:t>
          </w:r>
        </w:p>
      </w:docPartBody>
    </w:docPart>
    <w:docPart>
      <w:docPartPr>
        <w:name w:val="CC6F67F8C0F149A6A1FE4C306ADD7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D58EB-B526-4044-9E08-A9AEC3FF5196}"/>
      </w:docPartPr>
      <w:docPartBody>
        <w:p w:rsidR="00000000" w:rsidRDefault="005C4DC9" w:rsidP="005C4DC9">
          <w:pPr>
            <w:pStyle w:val="CC6F67F8C0F149A6A1FE4C306ADD7163"/>
          </w:pPr>
          <w:r>
            <w:t>[Vyberte datum.]</w:t>
          </w:r>
        </w:p>
      </w:docPartBody>
    </w:docPart>
    <w:docPart>
      <w:docPartPr>
        <w:name w:val="81B22AA7FE704A99BB632C4B75850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2FB04-78CA-4E26-BB30-2885E5416C9B}"/>
      </w:docPartPr>
      <w:docPartBody>
        <w:p w:rsidR="00000000" w:rsidRDefault="005C4DC9" w:rsidP="005C4DC9">
          <w:pPr>
            <w:pStyle w:val="81B22AA7FE704A99BB632C4B7585047C"/>
          </w:pPr>
          <w:r>
            <w:t>[Zadejte název společnosti.]</w:t>
          </w:r>
        </w:p>
      </w:docPartBody>
    </w:docPart>
    <w:docPart>
      <w:docPartPr>
        <w:name w:val="9F346632ADFE4592AFA967ED2F9BF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B5445-1B6C-4266-B503-D8B753389566}"/>
      </w:docPartPr>
      <w:docPartBody>
        <w:p w:rsidR="00000000" w:rsidRDefault="005C4DC9" w:rsidP="005C4DC9">
          <w:pPr>
            <w:pStyle w:val="9F346632ADFE4592AFA967ED2F9BFB59"/>
          </w:pPr>
          <w:r>
            <w:t>[Zadejte jméno autora.]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4DC9"/>
    <w:rsid w:val="005C4DC9"/>
    <w:rsid w:val="00FB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868E7B8B9C04D9ABAF35C611844729A">
    <w:name w:val="5868E7B8B9C04D9ABAF35C611844729A"/>
    <w:rsid w:val="005C4DC9"/>
  </w:style>
  <w:style w:type="paragraph" w:customStyle="1" w:styleId="F3F8B4D75F4B44348F16C5D05708B97D">
    <w:name w:val="F3F8B4D75F4B44348F16C5D05708B97D"/>
    <w:rsid w:val="005C4DC9"/>
  </w:style>
  <w:style w:type="paragraph" w:customStyle="1" w:styleId="CC6F67F8C0F149A6A1FE4C306ADD7163">
    <w:name w:val="CC6F67F8C0F149A6A1FE4C306ADD7163"/>
    <w:rsid w:val="005C4DC9"/>
  </w:style>
  <w:style w:type="paragraph" w:customStyle="1" w:styleId="81B22AA7FE704A99BB632C4B7585047C">
    <w:name w:val="81B22AA7FE704A99BB632C4B7585047C"/>
    <w:rsid w:val="005C4DC9"/>
  </w:style>
  <w:style w:type="paragraph" w:customStyle="1" w:styleId="9F346632ADFE4592AFA967ED2F9BFB59">
    <w:name w:val="9F346632ADFE4592AFA967ED2F9BFB59"/>
    <w:rsid w:val="005C4D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LibreOffice/7.6.2.1$Windows_x86 LibreOffice_project/56f7684011345957bbf33a7ee678afaf4d2ba333</Application>
  <AppVersion>15.0000</AppVersion>
  <Pages>3</Pages>
  <Words>739</Words>
  <Characters>3976</Characters>
  <CharactersWithSpaces>4672</CharactersWithSpaces>
  <Paragraphs>53</Paragraphs>
  <Company>Jitka Nekvindová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2022-10-03T20:39:00Z</dcterms:created>
  <dc:creator>Překladatelka a lektorka němčiny</dc:creator>
  <dc:description/>
  <dc:language>de-DE</dc:language>
  <cp:lastModifiedBy/>
  <cp:lastPrinted>2024-03-17T18:50:38Z</cp:lastPrinted>
  <dcterms:modified xsi:type="dcterms:W3CDTF">2024-03-18T09:13:29Z</dcterms:modified>
  <cp:revision>41</cp:revision>
  <dc:subject>- Umění odhadu</dc:subject>
  <dc:title>Silná a neprav. slovesa dle skupin stručně - učme se odhadu podle vzorů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